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BC" w:rsidRDefault="00691095">
      <w:pPr>
        <w:spacing w:line="0" w:lineRule="atLeast"/>
        <w:ind w:left="2"/>
        <w:rPr>
          <w:rFonts w:ascii="Trebuchet MS" w:eastAsia="Trebuchet MS" w:hAnsi="Trebuchet MS"/>
          <w:b/>
          <w:sz w:val="32"/>
        </w:rPr>
      </w:pPr>
      <w:bookmarkStart w:id="0" w:name="page1"/>
      <w:bookmarkEnd w:id="0"/>
      <w:r>
        <w:rPr>
          <w:rFonts w:ascii="Trebuchet MS" w:eastAsia="Trebuchet MS" w:hAnsi="Trebuchet MS"/>
          <w:b/>
          <w:sz w:val="32"/>
        </w:rPr>
        <w:t>Prijedlog kulturno-turističkih itinerera za Slavonski Brod</w:t>
      </w:r>
    </w:p>
    <w:p w:rsidR="009564BC" w:rsidRDefault="009564BC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9564BC" w:rsidRDefault="00691095">
      <w:pPr>
        <w:spacing w:line="0" w:lineRule="atLeast"/>
        <w:ind w:left="2"/>
        <w:rPr>
          <w:rFonts w:ascii="Trebuchet MS" w:eastAsia="Trebuchet MS" w:hAnsi="Trebuchet MS"/>
          <w:b/>
          <w:sz w:val="28"/>
        </w:rPr>
      </w:pPr>
      <w:r>
        <w:rPr>
          <w:rFonts w:ascii="Trebuchet MS" w:eastAsia="Trebuchet MS" w:hAnsi="Trebuchet MS"/>
          <w:b/>
          <w:sz w:val="28"/>
        </w:rPr>
        <w:t>a) na bazi poludnevnog izleta</w:t>
      </w:r>
    </w:p>
    <w:p w:rsidR="009564BC" w:rsidRDefault="009564BC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0" w:lineRule="atLeast"/>
        <w:ind w:left="342" w:hanging="342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Dolazak na središnji gradski trg smješten uz šetnicu na rijeci Savi.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243" w:lineRule="auto"/>
        <w:ind w:left="342" w:hanging="342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Šetnja u pratnji turističkog vodiča uz kraće zaustavljanje ispred kuće svjetski poznate dječje spisateljice Ivane Brlić-Mažuranić.</w:t>
      </w:r>
    </w:p>
    <w:p w:rsidR="009564BC" w:rsidRDefault="009564BC">
      <w:pPr>
        <w:spacing w:line="8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Susret sa likovima iz Ivaninih bajki.</w:t>
      </w:r>
    </w:p>
    <w:p w:rsidR="009564BC" w:rsidRDefault="009564BC">
      <w:pPr>
        <w:spacing w:line="13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Odlazak pješice prema tvrđavi Br</w:t>
      </w:r>
      <w:r w:rsidR="00F948C5">
        <w:rPr>
          <w:rFonts w:ascii="Trebuchet MS" w:eastAsia="Trebuchet MS" w:hAnsi="Trebuchet MS"/>
          <w:sz w:val="22"/>
        </w:rPr>
        <w:t xml:space="preserve">od, </w:t>
      </w:r>
      <w:r>
        <w:rPr>
          <w:rFonts w:ascii="Trebuchet MS" w:eastAsia="Trebuchet MS" w:hAnsi="Trebuchet MS"/>
          <w:sz w:val="22"/>
        </w:rPr>
        <w:t>najvećem spomeniku vojne fortifikacijske arhitekture</w:t>
      </w:r>
    </w:p>
    <w:p w:rsidR="009564BC" w:rsidRDefault="009564BC">
      <w:pPr>
        <w:spacing w:line="1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1"/>
          <w:numId w:val="1"/>
        </w:numPr>
        <w:tabs>
          <w:tab w:val="left" w:pos="722"/>
        </w:tabs>
        <w:spacing w:line="0" w:lineRule="atLeast"/>
        <w:ind w:left="722" w:hanging="380"/>
        <w:jc w:val="both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stoljeća u jugoistočnoj Europi.</w:t>
      </w:r>
    </w:p>
    <w:p w:rsidR="009564BC" w:rsidRDefault="009564BC">
      <w:pPr>
        <w:spacing w:line="13" w:lineRule="exact"/>
        <w:rPr>
          <w:rFonts w:ascii="Trebuchet MS" w:eastAsia="Trebuchet MS" w:hAnsi="Trebuchet MS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223" w:lineRule="auto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Razgled Galerije Ružić s prvim stalnim postavom suvremene hrvatske umjetnosti druge polovice 20. stoljeća smještenoj u jugozapadnom dijelu kavalira, na bruto površini od 1.800 m</w:t>
      </w:r>
      <w:r>
        <w:rPr>
          <w:rFonts w:ascii="Trebuchet MS" w:eastAsia="Trebuchet MS" w:hAnsi="Trebuchet MS"/>
          <w:sz w:val="27"/>
          <w:vertAlign w:val="superscript"/>
        </w:rPr>
        <w:t>2</w:t>
      </w:r>
      <w:r>
        <w:rPr>
          <w:rFonts w:ascii="Trebuchet MS" w:eastAsia="Trebuchet MS" w:hAnsi="Trebuchet MS"/>
          <w:sz w:val="22"/>
        </w:rPr>
        <w:t>. Projekcija osmominutnog turističkog igranog filma "Bilo jednom u tvrđavi Brod u</w:t>
      </w:r>
    </w:p>
    <w:p w:rsidR="009564BC" w:rsidRDefault="009564BC">
      <w:pPr>
        <w:spacing w:line="2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1"/>
          <w:numId w:val="1"/>
        </w:numPr>
        <w:tabs>
          <w:tab w:val="left" w:pos="728"/>
        </w:tabs>
        <w:spacing w:line="243" w:lineRule="auto"/>
        <w:ind w:left="342" w:hanging="1"/>
        <w:jc w:val="both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stoljeću" u obnovljenom stanu zapovjednika tvrđave, danas sjedištu Osnovne glazbene škole, i susret sa nekima od likova iz filma po završetku projekcije.</w:t>
      </w:r>
    </w:p>
    <w:p w:rsidR="009564BC" w:rsidRDefault="009564BC">
      <w:pPr>
        <w:spacing w:line="5" w:lineRule="exact"/>
        <w:rPr>
          <w:rFonts w:ascii="Trebuchet MS" w:eastAsia="Trebuchet MS" w:hAnsi="Trebuchet MS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242" w:lineRule="auto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Obilazak tvrđavskih fortifikacijskih objekata u pratnji turističkog vodiča, uključujući i penjanje na neki od bastiona radi prekrasnog panoramskog pogleda te razgled kazamata u kojima se odvijao tvrđavski život.</w:t>
      </w:r>
    </w:p>
    <w:p w:rsidR="009564BC" w:rsidRDefault="009564BC">
      <w:pPr>
        <w:spacing w:line="9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243" w:lineRule="auto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Susret sa kovačem u tvrđavskoj kovačnici smještenoj u zapadnoj kurtini, uz demonstraciju kovačkih poslova.</w:t>
      </w:r>
    </w:p>
    <w:p w:rsidR="009564BC" w:rsidRDefault="009564BC">
      <w:pPr>
        <w:spacing w:line="8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242" w:lineRule="auto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"Living history" program uz aktivno sudjelovanje posjetitelja i angažman tvrđavskih likova poput konjanika, pripadnika Slavonske husarske tvrđavske regimente iz 18. stoljeća, tvrđavskih pješaka, zanatlija te drugih likova, uključujući i lik baruna Trenka.</w:t>
      </w:r>
    </w:p>
    <w:p w:rsidR="009564BC" w:rsidRDefault="009564BC">
      <w:pPr>
        <w:spacing w:line="7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Mogućnost jahanja na konju, vožnje u kočiji, fotografiranja i sl.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Izvođenje scena kažnjavanja tvrđavskih zatovrenika na klupi za mučenje.</w:t>
      </w:r>
    </w:p>
    <w:p w:rsidR="009564BC" w:rsidRDefault="009564BC">
      <w:pPr>
        <w:spacing w:line="13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Izvođenje glasnih pucnjeva iz tvrđavskog topa.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243" w:lineRule="auto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 xml:space="preserve">Razgled "muzeja tambura" i </w:t>
      </w:r>
      <w:r w:rsidR="00083827">
        <w:rPr>
          <w:rFonts w:ascii="Trebuchet MS" w:eastAsia="Trebuchet MS" w:hAnsi="Trebuchet MS"/>
          <w:sz w:val="22"/>
        </w:rPr>
        <w:t>postava tvrđavskog zatvora i ljekarne</w:t>
      </w:r>
      <w:r>
        <w:rPr>
          <w:rFonts w:ascii="Trebuchet MS" w:eastAsia="Trebuchet MS" w:hAnsi="Trebuchet MS"/>
          <w:sz w:val="22"/>
        </w:rPr>
        <w:t>.</w:t>
      </w:r>
    </w:p>
    <w:p w:rsidR="009564BC" w:rsidRDefault="009564BC">
      <w:pPr>
        <w:spacing w:line="8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243" w:lineRule="auto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Mogućnost održavanja kreativne radionice izrade svirala od drveta (frula) ili dogovaranja demonstracije proizvodnje tambura od strane majstora trzalačkih glazbala.</w:t>
      </w:r>
    </w:p>
    <w:p w:rsidR="009564BC" w:rsidRDefault="009564BC">
      <w:pPr>
        <w:spacing w:line="8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242" w:lineRule="auto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Okrjepa u gradskoj vijećnici smještenoj u Časničkom paviljonu uz razgled kostimiranih lutaka graničarskih vojnika u prirodnoj veličini u foajeu te eventualni susret sa gradonačelnikom i gradskim dužnosnicima.</w:t>
      </w:r>
    </w:p>
    <w:p w:rsidR="009564BC" w:rsidRDefault="009564BC">
      <w:pPr>
        <w:spacing w:line="7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 xml:space="preserve">Mogućnost dogovaranja degustacije vina u </w:t>
      </w:r>
      <w:r w:rsidR="00083827">
        <w:rPr>
          <w:rFonts w:ascii="Trebuchet MS" w:eastAsia="Trebuchet MS" w:hAnsi="Trebuchet MS"/>
          <w:sz w:val="22"/>
        </w:rPr>
        <w:t>obnovljenoj tvrđavskoj vinoteci</w:t>
      </w:r>
      <w:r>
        <w:rPr>
          <w:rFonts w:ascii="Trebuchet MS" w:eastAsia="Trebuchet MS" w:hAnsi="Trebuchet MS"/>
          <w:sz w:val="22"/>
        </w:rPr>
        <w:t>.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1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Ručak u nekom od slavonskobrodskih restorana.</w:t>
      </w:r>
    </w:p>
    <w:p w:rsidR="009564BC" w:rsidRDefault="009564BC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9564BC" w:rsidRDefault="00691095">
      <w:pPr>
        <w:spacing w:line="0" w:lineRule="atLeast"/>
        <w:ind w:left="2"/>
        <w:rPr>
          <w:rFonts w:ascii="Trebuchet MS" w:eastAsia="Trebuchet MS" w:hAnsi="Trebuchet MS"/>
          <w:b/>
          <w:sz w:val="28"/>
        </w:rPr>
      </w:pPr>
      <w:r>
        <w:rPr>
          <w:rFonts w:ascii="Trebuchet MS" w:eastAsia="Trebuchet MS" w:hAnsi="Trebuchet MS"/>
          <w:b/>
          <w:sz w:val="28"/>
        </w:rPr>
        <w:t>b) na bazi jednodnevnog izleta</w:t>
      </w:r>
    </w:p>
    <w:p w:rsidR="009564BC" w:rsidRDefault="009564BC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9564BC" w:rsidRDefault="00691095">
      <w:pPr>
        <w:numPr>
          <w:ilvl w:val="0"/>
          <w:numId w:val="2"/>
        </w:numPr>
        <w:tabs>
          <w:tab w:val="left" w:pos="342"/>
        </w:tabs>
        <w:spacing w:line="0" w:lineRule="atLeast"/>
        <w:ind w:left="342" w:hanging="342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Prvi dio izleta kao pod a)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2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Odlazak prema</w:t>
      </w:r>
      <w:r w:rsidR="00083827">
        <w:rPr>
          <w:rFonts w:ascii="Trebuchet MS" w:eastAsia="Trebuchet MS" w:hAnsi="Trebuchet MS"/>
          <w:sz w:val="22"/>
        </w:rPr>
        <w:t xml:space="preserve"> Brodskom Varošu, Podvinju i Brodskom Vinogorju</w:t>
      </w:r>
      <w:r>
        <w:rPr>
          <w:rFonts w:ascii="Trebuchet MS" w:eastAsia="Trebuchet MS" w:hAnsi="Trebuchet MS"/>
          <w:sz w:val="22"/>
        </w:rPr>
        <w:t xml:space="preserve"> </w:t>
      </w:r>
    </w:p>
    <w:p w:rsidR="009564BC" w:rsidRDefault="009564BC">
      <w:pPr>
        <w:spacing w:line="13" w:lineRule="exact"/>
        <w:rPr>
          <w:rFonts w:ascii="Arial" w:eastAsia="Arial" w:hAnsi="Arial"/>
          <w:color w:val="FC3C0D"/>
          <w:sz w:val="22"/>
        </w:rPr>
      </w:pPr>
    </w:p>
    <w:p w:rsidR="009564BC" w:rsidRDefault="00083827">
      <w:pPr>
        <w:numPr>
          <w:ilvl w:val="0"/>
          <w:numId w:val="2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Susret s planetarno poznatom varoškom rodom Malenom u područnoj školi Osnovne škole „Ivana Brlić – Mažuranić“</w:t>
      </w:r>
      <w:r w:rsidR="00691095">
        <w:rPr>
          <w:rFonts w:ascii="Trebuchet MS" w:eastAsia="Trebuchet MS" w:hAnsi="Trebuchet MS"/>
          <w:sz w:val="22"/>
        </w:rPr>
        <w:t xml:space="preserve"> 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083827" w:rsidRPr="00083827" w:rsidRDefault="00083827">
      <w:pPr>
        <w:numPr>
          <w:ilvl w:val="0"/>
          <w:numId w:val="2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Slobodno za rekreacijske aktivnosti u Šumi Striborovoj u Podvinju</w:t>
      </w:r>
    </w:p>
    <w:p w:rsidR="00083827" w:rsidRDefault="00083827" w:rsidP="00083827">
      <w:pPr>
        <w:pStyle w:val="Odlomakpopisa"/>
        <w:rPr>
          <w:rFonts w:ascii="Trebuchet MS" w:eastAsia="Trebuchet MS" w:hAnsi="Trebuchet MS"/>
          <w:sz w:val="22"/>
        </w:rPr>
      </w:pPr>
    </w:p>
    <w:p w:rsidR="009564BC" w:rsidRDefault="00083827">
      <w:pPr>
        <w:numPr>
          <w:ilvl w:val="0"/>
          <w:numId w:val="2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Šetnja planinarskim putevima Brodskog Vinogorja</w:t>
      </w:r>
      <w:r w:rsidR="00691095">
        <w:rPr>
          <w:rFonts w:ascii="Trebuchet MS" w:eastAsia="Trebuchet MS" w:hAnsi="Trebuchet MS"/>
          <w:sz w:val="22"/>
        </w:rPr>
        <w:t xml:space="preserve"> </w:t>
      </w:r>
    </w:p>
    <w:p w:rsidR="009564BC" w:rsidRDefault="009564BC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9564BC" w:rsidRDefault="009564BC">
      <w:pPr>
        <w:spacing w:line="200" w:lineRule="exact"/>
        <w:rPr>
          <w:rFonts w:ascii="Trebuchet MS" w:eastAsia="Trebuchet MS" w:hAnsi="Trebuchet MS"/>
          <w:b/>
          <w:sz w:val="22"/>
        </w:rPr>
      </w:pPr>
    </w:p>
    <w:p w:rsidR="00083827" w:rsidRDefault="000838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564BC" w:rsidRDefault="009564BC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9564BC" w:rsidRDefault="00691095">
      <w:pPr>
        <w:spacing w:line="0" w:lineRule="atLeast"/>
        <w:ind w:left="4502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1/3</w:t>
      </w:r>
    </w:p>
    <w:p w:rsidR="009564BC" w:rsidRDefault="009564BC">
      <w:pPr>
        <w:spacing w:line="0" w:lineRule="atLeast"/>
        <w:ind w:left="4502"/>
        <w:rPr>
          <w:rFonts w:ascii="Trebuchet MS" w:eastAsia="Trebuchet MS" w:hAnsi="Trebuchet MS"/>
          <w:sz w:val="22"/>
        </w:rPr>
        <w:sectPr w:rsidR="009564BC">
          <w:pgSz w:w="11900" w:h="16841"/>
          <w:pgMar w:top="1103" w:right="1120" w:bottom="478" w:left="1418" w:header="0" w:footer="0" w:gutter="0"/>
          <w:cols w:space="0" w:equalWidth="0">
            <w:col w:w="9362"/>
          </w:cols>
          <w:docGrid w:linePitch="360"/>
        </w:sectPr>
      </w:pPr>
    </w:p>
    <w:p w:rsidR="009564BC" w:rsidRDefault="00691095">
      <w:pPr>
        <w:spacing w:line="0" w:lineRule="atLeast"/>
        <w:ind w:left="2"/>
        <w:rPr>
          <w:rFonts w:ascii="Trebuchet MS" w:eastAsia="Trebuchet MS" w:hAnsi="Trebuchet MS"/>
          <w:b/>
          <w:sz w:val="28"/>
        </w:rPr>
      </w:pPr>
      <w:bookmarkStart w:id="1" w:name="page2"/>
      <w:bookmarkEnd w:id="1"/>
      <w:r>
        <w:rPr>
          <w:rFonts w:ascii="Trebuchet MS" w:eastAsia="Trebuchet MS" w:hAnsi="Trebuchet MS"/>
          <w:b/>
          <w:sz w:val="28"/>
        </w:rPr>
        <w:lastRenderedPageBreak/>
        <w:t>c) na bazi noćenja</w:t>
      </w:r>
    </w:p>
    <w:p w:rsidR="009564BC" w:rsidRDefault="009564BC">
      <w:pPr>
        <w:spacing w:line="267" w:lineRule="exact"/>
        <w:rPr>
          <w:rFonts w:ascii="Times New Roman" w:eastAsia="Times New Roman" w:hAnsi="Times New Roman"/>
        </w:rPr>
      </w:pPr>
    </w:p>
    <w:p w:rsidR="009564BC" w:rsidRDefault="00691095">
      <w:pPr>
        <w:spacing w:line="0" w:lineRule="atLeast"/>
        <w:ind w:left="2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PRVI DAN</w:t>
      </w:r>
    </w:p>
    <w:p w:rsidR="009564BC" w:rsidRDefault="009564BC">
      <w:pPr>
        <w:spacing w:line="16" w:lineRule="exact"/>
        <w:rPr>
          <w:rFonts w:ascii="Times New Roman" w:eastAsia="Times New Roman" w:hAnsi="Times New Roman"/>
        </w:rPr>
      </w:pPr>
    </w:p>
    <w:p w:rsidR="009564BC" w:rsidRDefault="00691095">
      <w:pPr>
        <w:numPr>
          <w:ilvl w:val="0"/>
          <w:numId w:val="5"/>
        </w:numPr>
        <w:tabs>
          <w:tab w:val="left" w:pos="342"/>
        </w:tabs>
        <w:spacing w:line="0" w:lineRule="atLeast"/>
        <w:ind w:left="342" w:hanging="342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Dolazak u Slavonski Brod u popodnevnim satima.</w:t>
      </w:r>
    </w:p>
    <w:p w:rsidR="009564BC" w:rsidRDefault="009564BC">
      <w:pPr>
        <w:spacing w:line="13" w:lineRule="exact"/>
        <w:rPr>
          <w:rFonts w:ascii="Arial" w:eastAsia="Arial" w:hAnsi="Arial"/>
          <w:color w:val="FC3C0D"/>
          <w:sz w:val="22"/>
        </w:rPr>
      </w:pPr>
    </w:p>
    <w:p w:rsidR="00083827" w:rsidRPr="00083827" w:rsidRDefault="00691095" w:rsidP="00083827">
      <w:pPr>
        <w:numPr>
          <w:ilvl w:val="0"/>
          <w:numId w:val="5"/>
        </w:numPr>
        <w:tabs>
          <w:tab w:val="left" w:pos="342"/>
        </w:tabs>
        <w:spacing w:line="244" w:lineRule="auto"/>
        <w:ind w:left="342" w:hanging="342"/>
        <w:jc w:val="both"/>
        <w:rPr>
          <w:rFonts w:ascii="Trebuchet MS" w:eastAsia="Trebuchet MS" w:hAnsi="Trebuchet MS"/>
          <w:sz w:val="22"/>
        </w:rPr>
      </w:pPr>
      <w:r w:rsidRPr="00083827">
        <w:rPr>
          <w:rFonts w:ascii="Trebuchet MS" w:eastAsia="Trebuchet MS" w:hAnsi="Trebuchet MS"/>
          <w:sz w:val="22"/>
        </w:rPr>
        <w:t xml:space="preserve">Odlazak </w:t>
      </w:r>
      <w:r w:rsidR="00083827" w:rsidRPr="00083827">
        <w:rPr>
          <w:rFonts w:ascii="Trebuchet MS" w:eastAsia="Trebuchet MS" w:hAnsi="Trebuchet MS"/>
          <w:sz w:val="22"/>
        </w:rPr>
        <w:t>pješice prema tvrđavi Brod</w:t>
      </w:r>
    </w:p>
    <w:p w:rsidR="009564BC" w:rsidRPr="00083827" w:rsidRDefault="00083827" w:rsidP="00083827">
      <w:pPr>
        <w:numPr>
          <w:ilvl w:val="0"/>
          <w:numId w:val="5"/>
        </w:numPr>
        <w:tabs>
          <w:tab w:val="left" w:pos="342"/>
        </w:tabs>
        <w:spacing w:line="244" w:lineRule="auto"/>
        <w:ind w:left="342" w:hanging="342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Razgeld tvrđave, uključujući „living history program“.</w:t>
      </w:r>
    </w:p>
    <w:p w:rsidR="00083827" w:rsidRPr="00083827" w:rsidRDefault="00083827" w:rsidP="00083827">
      <w:pPr>
        <w:numPr>
          <w:ilvl w:val="0"/>
          <w:numId w:val="5"/>
        </w:numPr>
        <w:tabs>
          <w:tab w:val="left" w:pos="342"/>
        </w:tabs>
        <w:spacing w:line="244" w:lineRule="auto"/>
        <w:ind w:left="342" w:hanging="342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Večera</w:t>
      </w:r>
    </w:p>
    <w:p w:rsidR="00083827" w:rsidRPr="00083827" w:rsidRDefault="00083827" w:rsidP="00083827">
      <w:pPr>
        <w:numPr>
          <w:ilvl w:val="0"/>
          <w:numId w:val="5"/>
        </w:numPr>
        <w:tabs>
          <w:tab w:val="left" w:pos="342"/>
        </w:tabs>
        <w:spacing w:line="244" w:lineRule="auto"/>
        <w:ind w:left="342" w:hanging="342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Šetnja savskom šetnicom do franjevačkog samostana</w:t>
      </w:r>
    </w:p>
    <w:p w:rsidR="00083827" w:rsidRPr="00083827" w:rsidRDefault="00083827" w:rsidP="00083827">
      <w:pPr>
        <w:numPr>
          <w:ilvl w:val="0"/>
          <w:numId w:val="5"/>
        </w:numPr>
        <w:tabs>
          <w:tab w:val="left" w:pos="342"/>
        </w:tabs>
        <w:spacing w:line="244" w:lineRule="auto"/>
        <w:ind w:left="342" w:hanging="342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Razgled samostana</w:t>
      </w:r>
    </w:p>
    <w:p w:rsidR="00083827" w:rsidRDefault="00083827" w:rsidP="00083827">
      <w:pPr>
        <w:numPr>
          <w:ilvl w:val="0"/>
          <w:numId w:val="5"/>
        </w:numPr>
        <w:tabs>
          <w:tab w:val="left" w:pos="342"/>
        </w:tabs>
        <w:spacing w:line="244" w:lineRule="auto"/>
        <w:ind w:left="342" w:hanging="342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Fakultativna mogućnost kupanja na gradskim bazenima</w:t>
      </w:r>
    </w:p>
    <w:p w:rsidR="009564BC" w:rsidRDefault="009564BC">
      <w:pPr>
        <w:spacing w:line="256" w:lineRule="exact"/>
        <w:rPr>
          <w:rFonts w:ascii="Times New Roman" w:eastAsia="Times New Roman" w:hAnsi="Times New Roman"/>
        </w:rPr>
      </w:pPr>
    </w:p>
    <w:p w:rsidR="009564BC" w:rsidRDefault="00691095">
      <w:pPr>
        <w:spacing w:line="0" w:lineRule="atLeast"/>
        <w:ind w:left="2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DRUGI DAN</w:t>
      </w:r>
    </w:p>
    <w:p w:rsidR="009564BC" w:rsidRDefault="009564BC">
      <w:pPr>
        <w:spacing w:line="16" w:lineRule="exact"/>
        <w:rPr>
          <w:rFonts w:ascii="Times New Roman" w:eastAsia="Times New Roman" w:hAnsi="Times New Roman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Doručak.</w:t>
      </w:r>
    </w:p>
    <w:p w:rsidR="009564BC" w:rsidRDefault="009564BC">
      <w:pPr>
        <w:spacing w:line="13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Razgled središnjeg gradskog trga i tvrđave, po programu kao pod a)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Odlazak prema zoološkom vrtu obitelji MILEC u prigradskom naselju Ruščica.</w:t>
      </w:r>
    </w:p>
    <w:p w:rsidR="009564BC" w:rsidRDefault="009564BC">
      <w:pPr>
        <w:spacing w:line="13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Susret  sa  životinjama  uz  mogućnost  organiziranja  fotografiranja  sa  nekim  vrstama</w:t>
      </w:r>
    </w:p>
    <w:p w:rsidR="009564BC" w:rsidRDefault="009564BC">
      <w:pPr>
        <w:spacing w:line="1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spacing w:line="0" w:lineRule="atLeast"/>
        <w:ind w:left="342"/>
        <w:jc w:val="both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životinjama pod nadzorom vlasnika.</w:t>
      </w:r>
    </w:p>
    <w:p w:rsidR="009564BC" w:rsidRDefault="009564BC">
      <w:pPr>
        <w:spacing w:line="13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Ručak u nekom od slavonskobrodskih restorana.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Odlazak iz Slavonskog Broda prema zapadnom dijelu Brodskog Posavlja.</w:t>
      </w:r>
    </w:p>
    <w:p w:rsidR="009564BC" w:rsidRDefault="009564BC">
      <w:pPr>
        <w:spacing w:line="13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Kraće zaustavljanje uz jezero Petnja u općini Sibinj.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Nastavak puta prema Brodskom Stupniku, poznatom vinogradarskom kraju.</w:t>
      </w:r>
    </w:p>
    <w:p w:rsidR="009564BC" w:rsidRDefault="009564BC">
      <w:pPr>
        <w:spacing w:line="13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244" w:lineRule="auto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 xml:space="preserve">Vožnja stupničkom vinskom cestom te eventualna degustacija vina u prvom hrvatskom vinskom hotelu </w:t>
      </w:r>
    </w:p>
    <w:p w:rsidR="009564BC" w:rsidRDefault="009564BC">
      <w:pPr>
        <w:spacing w:line="6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244" w:lineRule="auto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Odlazak prema Slavonskom Kobašu, tipičnom prisavskom slavonskom selu, sa kućama karakteristične arhitekture na čijim krovovima se okupljaju rode.</w:t>
      </w:r>
    </w:p>
    <w:p w:rsidR="009564BC" w:rsidRDefault="009564BC">
      <w:pPr>
        <w:spacing w:line="6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Razgled gotičke crkve Sv. Marije i barokne crkve Sv. Ivana Krstitelja.</w:t>
      </w:r>
    </w:p>
    <w:p w:rsidR="009564BC" w:rsidRDefault="009564BC">
      <w:pPr>
        <w:spacing w:line="15" w:lineRule="exact"/>
        <w:rPr>
          <w:rFonts w:ascii="Arial" w:eastAsia="Arial" w:hAnsi="Arial"/>
          <w:color w:val="FC3C0D"/>
          <w:sz w:val="22"/>
        </w:rPr>
      </w:pPr>
    </w:p>
    <w:p w:rsidR="009564BC" w:rsidRDefault="00691095">
      <w:pPr>
        <w:numPr>
          <w:ilvl w:val="0"/>
          <w:numId w:val="6"/>
        </w:numPr>
        <w:tabs>
          <w:tab w:val="left" w:pos="342"/>
        </w:tabs>
        <w:spacing w:line="0" w:lineRule="atLeast"/>
        <w:ind w:left="342" w:hanging="340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Nastavak puta prema Novoj Gradiški.</w:t>
      </w: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12" w:lineRule="exact"/>
        <w:rPr>
          <w:rFonts w:ascii="Times New Roman" w:eastAsia="Times New Roman" w:hAnsi="Times New Roman"/>
        </w:rPr>
      </w:pPr>
    </w:p>
    <w:p w:rsidR="009564BC" w:rsidRDefault="00691095">
      <w:pPr>
        <w:spacing w:line="0" w:lineRule="atLeast"/>
        <w:ind w:left="4502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2/3</w:t>
      </w:r>
    </w:p>
    <w:p w:rsidR="009564BC" w:rsidRDefault="009564BC">
      <w:pPr>
        <w:spacing w:line="0" w:lineRule="atLeast"/>
        <w:ind w:left="4502"/>
        <w:rPr>
          <w:rFonts w:ascii="Trebuchet MS" w:eastAsia="Trebuchet MS" w:hAnsi="Trebuchet MS"/>
          <w:sz w:val="22"/>
        </w:rPr>
        <w:sectPr w:rsidR="009564BC">
          <w:pgSz w:w="11900" w:h="16841"/>
          <w:pgMar w:top="1107" w:right="1120" w:bottom="478" w:left="1418" w:header="0" w:footer="0" w:gutter="0"/>
          <w:cols w:space="0" w:equalWidth="0">
            <w:col w:w="9362"/>
          </w:cols>
          <w:docGrid w:linePitch="360"/>
        </w:sectPr>
      </w:pPr>
    </w:p>
    <w:p w:rsidR="009564BC" w:rsidRDefault="00691095">
      <w:pPr>
        <w:spacing w:line="249" w:lineRule="auto"/>
        <w:jc w:val="both"/>
        <w:rPr>
          <w:rFonts w:ascii="Trebuchet MS" w:eastAsia="Trebuchet MS" w:hAnsi="Trebuchet MS"/>
          <w:b/>
          <w:sz w:val="22"/>
        </w:rPr>
      </w:pPr>
      <w:bookmarkStart w:id="2" w:name="page3"/>
      <w:bookmarkEnd w:id="2"/>
      <w:r>
        <w:rPr>
          <w:rFonts w:ascii="Trebuchet MS" w:eastAsia="Trebuchet MS" w:hAnsi="Trebuchet MS"/>
          <w:b/>
          <w:sz w:val="22"/>
        </w:rPr>
        <w:lastRenderedPageBreak/>
        <w:t>Cjenik</w:t>
      </w:r>
      <w:bookmarkStart w:id="3" w:name="_GoBack"/>
      <w:bookmarkEnd w:id="3"/>
      <w:r>
        <w:rPr>
          <w:rFonts w:ascii="Trebuchet MS" w:eastAsia="Trebuchet MS" w:hAnsi="Trebuchet MS"/>
          <w:b/>
          <w:sz w:val="22"/>
        </w:rPr>
        <w:t xml:space="preserve"> razgleda turističkih i kulturnih znamenitosti te korištenja drugih turističkih i ugostiteljskih usluga u gradu Sl</w:t>
      </w:r>
      <w:r w:rsidR="000650C1">
        <w:rPr>
          <w:rFonts w:ascii="Trebuchet MS" w:eastAsia="Trebuchet MS" w:hAnsi="Trebuchet MS"/>
          <w:b/>
          <w:sz w:val="22"/>
        </w:rPr>
        <w:t>avonskom Brodu i okolici (netto</w:t>
      </w:r>
      <w:r>
        <w:rPr>
          <w:rFonts w:ascii="Trebuchet MS" w:eastAsia="Trebuchet MS" w:hAnsi="Trebuchet MS"/>
          <w:b/>
          <w:sz w:val="22"/>
        </w:rPr>
        <w:t>).</w:t>
      </w: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080"/>
        <w:gridCol w:w="1700"/>
      </w:tblGrid>
      <w:tr w:rsidR="009564BC" w:rsidTr="000650C1">
        <w:trPr>
          <w:trHeight w:val="2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9" w:lineRule="exact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9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Galerije Ružić, po osobi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9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10,00 kuna</w:t>
            </w:r>
          </w:p>
        </w:tc>
      </w:tr>
      <w:tr w:rsidR="009564BC" w:rsidTr="000650C1">
        <w:trPr>
          <w:trHeight w:val="23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0" w:lineRule="atLeas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 xml:space="preserve">Razgled Galerije Ružić, </w:t>
            </w:r>
            <w:r w:rsidR="000650C1">
              <w:rPr>
                <w:rFonts w:ascii="Trebuchet MS" w:eastAsia="Trebuchet MS" w:hAnsi="Trebuchet MS"/>
              </w:rPr>
              <w:t xml:space="preserve">po osobi, </w:t>
            </w:r>
            <w:r>
              <w:rPr>
                <w:rFonts w:ascii="Trebuchet MS" w:eastAsia="Trebuchet MS" w:hAnsi="Trebuchet MS"/>
              </w:rPr>
              <w:t>djeca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0" w:lineRule="atLeas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5,00 kuna</w:t>
            </w:r>
          </w:p>
        </w:tc>
      </w:tr>
      <w:tr w:rsidR="002F3D65" w:rsidTr="000650C1">
        <w:trPr>
          <w:trHeight w:val="23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3B059F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0" w:lineRule="atLeas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Muzeja tambura, po osobi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0" w:lineRule="atLeas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10,00 kuna</w:t>
            </w:r>
          </w:p>
        </w:tc>
      </w:tr>
      <w:tr w:rsidR="002F3D65" w:rsidTr="000650C1">
        <w:trPr>
          <w:trHeight w:val="23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9F" w:rsidRDefault="003B059F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0" w:lineRule="atLeas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Muzeja tambura, po osobi, djeca, umirovljenici, stunenti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0" w:lineRule="atLeas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5,00 kuna</w:t>
            </w:r>
          </w:p>
        </w:tc>
      </w:tr>
      <w:tr w:rsidR="009564BC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Pr="003B059F" w:rsidRDefault="003B059F" w:rsidP="003B059F">
            <w:pPr>
              <w:spacing w:line="230" w:lineRule="exact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30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Obilazak gradske vijećnice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30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gratis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9F" w:rsidRDefault="003B059F" w:rsidP="003B059F">
            <w:pPr>
              <w:spacing w:line="222" w:lineRule="exact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6.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jednog husara ili pješaka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150,00</w:t>
            </w:r>
            <w:r w:rsidR="00691095">
              <w:rPr>
                <w:rFonts w:ascii="Trebuchet MS" w:eastAsia="Trebuchet MS" w:hAnsi="Trebuchet MS"/>
              </w:rPr>
              <w:t xml:space="preserve">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59F" w:rsidRDefault="003B059F" w:rsidP="003B059F">
            <w:pPr>
              <w:spacing w:line="222" w:lineRule="exact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7.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tvrđavskog zapovjednika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200</w:t>
            </w:r>
            <w:r w:rsidR="00691095">
              <w:rPr>
                <w:rFonts w:ascii="Trebuchet MS" w:eastAsia="Trebuchet MS" w:hAnsi="Trebuchet MS"/>
              </w:rPr>
              <w:t>,00 kuna</w:t>
            </w:r>
          </w:p>
        </w:tc>
      </w:tr>
      <w:tr w:rsidR="009564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0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8.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0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tvrđavskog špijuna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0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9.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tvrđavskog pisara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10.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tvrđavskog seljaka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11.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princa Euge</w:t>
            </w:r>
            <w:r w:rsidR="00F948C5">
              <w:rPr>
                <w:rFonts w:ascii="Trebuchet MS" w:eastAsia="Trebuchet MS" w:hAnsi="Trebuchet MS"/>
              </w:rPr>
              <w:t>na Savojskog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150,0</w:t>
            </w:r>
            <w:r w:rsidR="00691095">
              <w:rPr>
                <w:rFonts w:ascii="Trebuchet MS" w:eastAsia="Trebuchet MS" w:hAnsi="Trebuchet MS"/>
              </w:rPr>
              <w:t>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12.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vojnika na vježbalištu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13.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tvrđavskog gostioničara, uz degustaciju vina ili kolača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0650C1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250,0</w:t>
            </w:r>
            <w:r w:rsidR="00691095">
              <w:rPr>
                <w:rFonts w:ascii="Trebuchet MS" w:eastAsia="Trebuchet MS" w:hAnsi="Trebuchet MS"/>
              </w:rPr>
              <w:t>0 kuna</w:t>
            </w:r>
          </w:p>
        </w:tc>
      </w:tr>
      <w:tr w:rsidR="009564BC" w:rsidTr="000650C1">
        <w:trPr>
          <w:trHeight w:val="22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14.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baruna Franje Trenka 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15.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Carice Marije Terezije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16.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pratilje baruna Franje Trenka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17.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orkestra baruna Franje Trenka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650,00</w:t>
            </w:r>
            <w:r w:rsidR="00691095">
              <w:rPr>
                <w:rFonts w:ascii="Trebuchet MS" w:eastAsia="Trebuchet MS" w:hAnsi="Trebuchet MS"/>
              </w:rPr>
              <w:t xml:space="preserve">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18.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majstora u muzeju tambura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250,00</w:t>
            </w:r>
            <w:r w:rsidR="00691095">
              <w:rPr>
                <w:rFonts w:ascii="Trebuchet MS" w:eastAsia="Trebuchet MS" w:hAnsi="Trebuchet MS"/>
              </w:rPr>
              <w:t xml:space="preserve">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19.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baruna Trenka na konju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</w:t>
            </w:r>
            <w:r w:rsidR="00691095">
              <w:rPr>
                <w:rFonts w:ascii="Trebuchet MS" w:eastAsia="Trebuchet MS" w:hAnsi="Trebuchet MS"/>
              </w:rPr>
              <w:t>00,00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konjanika na dva konja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491,82</w:t>
            </w:r>
            <w:r w:rsidR="00691095">
              <w:rPr>
                <w:rFonts w:ascii="Trebuchet MS" w:eastAsia="Trebuchet MS" w:hAnsi="Trebuchet MS"/>
              </w:rPr>
              <w:t xml:space="preserve">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21.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konjanika na četiri konja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819,70</w:t>
            </w:r>
            <w:r w:rsidR="00691095">
              <w:rPr>
                <w:rFonts w:ascii="Trebuchet MS" w:eastAsia="Trebuchet MS" w:hAnsi="Trebuchet MS"/>
              </w:rPr>
              <w:t xml:space="preserve"> kuna</w:t>
            </w:r>
          </w:p>
        </w:tc>
      </w:tr>
      <w:tr w:rsidR="009564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0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22.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0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kočijaša sa kočijom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0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573,79</w:t>
            </w:r>
            <w:r w:rsidR="00691095">
              <w:rPr>
                <w:rFonts w:ascii="Trebuchet MS" w:eastAsia="Trebuchet MS" w:hAnsi="Trebuchet MS"/>
              </w:rPr>
              <w:t xml:space="preserve">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23.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kovača u kovačnici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250,00</w:t>
            </w:r>
            <w:r w:rsidR="00691095">
              <w:rPr>
                <w:rFonts w:ascii="Trebuchet MS" w:eastAsia="Trebuchet MS" w:hAnsi="Trebuchet MS"/>
              </w:rPr>
              <w:t xml:space="preserve">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24.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tvrđavske plesačice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25.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tvrđavskog slikara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26.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tvrđavskog liječnika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27.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tvrđavskog apotekara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28.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pekara uz degustaciju pekarskih proizvoda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300</w:t>
            </w:r>
            <w:r w:rsidR="00691095">
              <w:rPr>
                <w:rFonts w:ascii="Trebuchet MS" w:eastAsia="Trebuchet MS" w:hAnsi="Trebuchet MS"/>
              </w:rPr>
              <w:t>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29.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tvrđavske slastičarke uz degustaciju tradicijskih kolača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30.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Scene kažnjavanja na klupi za mučenje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500</w:t>
            </w:r>
            <w:r w:rsidR="00691095">
              <w:rPr>
                <w:rFonts w:ascii="Trebuchet MS" w:eastAsia="Trebuchet MS" w:hAnsi="Trebuchet MS"/>
              </w:rPr>
              <w:t>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31.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Izvođenje glasnog pucnja iz tvrđavskog topa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500</w:t>
            </w:r>
            <w:r w:rsidR="00691095">
              <w:rPr>
                <w:rFonts w:ascii="Trebuchet MS" w:eastAsia="Trebuchet MS" w:hAnsi="Trebuchet MS"/>
              </w:rPr>
              <w:t>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32.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Degustacije vina, po uzorku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33.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Regoča i Kosjenke iz pripovijetki I. B. Mažuranić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300</w:t>
            </w:r>
            <w:r w:rsidR="00691095">
              <w:rPr>
                <w:rFonts w:ascii="Trebuchet MS" w:eastAsia="Trebuchet MS" w:hAnsi="Trebuchet MS"/>
              </w:rPr>
              <w:t>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34.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Majstora Mrkonje i šegrta Hlapića iz pripovijetki I. B. Mažuranić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300</w:t>
            </w:r>
            <w:r w:rsidR="00691095">
              <w:rPr>
                <w:rFonts w:ascii="Trebuchet MS" w:eastAsia="Trebuchet MS" w:hAnsi="Trebuchet MS"/>
              </w:rPr>
              <w:t>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35.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Potjeha iz pripovijetki I. B. Mažuranić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0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36.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0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Stribora iz pripovijetki I. B. Mažuranić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0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1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0" w:lineRule="atLeas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37.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09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Neve Nevičice i Oleh bana s ponijem iz pripovijetki I. B. Mažuranić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0" w:lineRule="atLeas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470,0</w:t>
            </w:r>
            <w:r w:rsidR="00691095">
              <w:rPr>
                <w:rFonts w:ascii="Trebuchet MS" w:eastAsia="Trebuchet MS" w:hAnsi="Trebuchet MS"/>
              </w:rPr>
              <w:t>0 kuna</w:t>
            </w:r>
          </w:p>
        </w:tc>
      </w:tr>
      <w:tr w:rsidR="009564BC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0" w:lineRule="atLeas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*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564BC">
        <w:trPr>
          <w:trHeight w:val="1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564BC">
        <w:trPr>
          <w:trHeight w:val="2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4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38.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4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Jagora s kozicama iz pripovijetki I. B. Mažuranić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4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45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39.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kostimiranog lika Dragutina Tadijanovića u dječačkoj dobi *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A58B4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16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40.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Angažman olimpijke Kornelije Kvesić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2F3D65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20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2F3D65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3B059F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41.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Prezentacija programa „Trenkova priprema za bitku“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300,00 kuna</w:t>
            </w:r>
          </w:p>
        </w:tc>
      </w:tr>
      <w:tr w:rsidR="009564BC">
        <w:trPr>
          <w:trHeight w:val="21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0" w:lineRule="atLeas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42.</w:t>
            </w: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0" w:lineRule="atLeas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Obroci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09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direktan dogovor</w:t>
            </w:r>
          </w:p>
        </w:tc>
      </w:tr>
      <w:tr w:rsidR="009564BC">
        <w:trPr>
          <w:trHeight w:val="1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0" w:lineRule="atLeas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 ugostiteljem</w:t>
            </w:r>
          </w:p>
        </w:tc>
      </w:tr>
      <w:tr w:rsidR="009564BC">
        <w:trPr>
          <w:trHeight w:val="1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righ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564BC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3B059F" w:rsidP="003B059F">
            <w:pPr>
              <w:spacing w:line="224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43.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4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samostana</w:t>
            </w:r>
            <w:r w:rsidR="002F3D65">
              <w:rPr>
                <w:rFonts w:ascii="Trebuchet MS" w:eastAsia="Trebuchet MS" w:hAnsi="Trebuchet MS"/>
              </w:rPr>
              <w:t>, po osobi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4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5,00 kuna</w:t>
            </w:r>
          </w:p>
        </w:tc>
      </w:tr>
      <w:tr w:rsidR="00190F2A" w:rsidTr="00190F2A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F2A" w:rsidRDefault="00190F2A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44.</w:t>
            </w:r>
          </w:p>
        </w:tc>
        <w:tc>
          <w:tcPr>
            <w:tcW w:w="7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F2A" w:rsidRDefault="00190F2A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Spomen doma Dragutina Tadijanovića, po osobi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F2A" w:rsidRDefault="00190F2A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10,00 kuna</w:t>
            </w:r>
          </w:p>
        </w:tc>
      </w:tr>
      <w:tr w:rsidR="00190F2A" w:rsidTr="00190F2A">
        <w:trPr>
          <w:trHeight w:val="2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F2A" w:rsidRDefault="00190F2A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F2A" w:rsidRDefault="00190F2A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Spomen doma Dragutina Tadijanovića, po osobi djeca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F2A" w:rsidRDefault="00190F2A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5,00 kuna</w:t>
            </w:r>
          </w:p>
        </w:tc>
      </w:tr>
      <w:tr w:rsidR="009564BC" w:rsidTr="00190F2A">
        <w:trPr>
          <w:trHeight w:val="22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190F2A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45</w:t>
            </w:r>
            <w:r w:rsidR="003B059F">
              <w:rPr>
                <w:rFonts w:ascii="Trebuchet MS" w:eastAsia="Trebuchet MS" w:hAnsi="Trebuchet MS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2F3D6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ZOO-a, po osobi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10,00 kuna</w:t>
            </w:r>
          </w:p>
        </w:tc>
      </w:tr>
      <w:tr w:rsidR="002F3D65" w:rsidTr="002F3D65">
        <w:trPr>
          <w:trHeight w:val="1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222" w:lineRule="exact"/>
              <w:rPr>
                <w:rFonts w:ascii="Trebuchet MS" w:eastAsia="Trebuchet MS" w:hAnsi="Trebuchet M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</w:p>
        </w:tc>
      </w:tr>
      <w:tr w:rsidR="002F3D65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190F2A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46</w:t>
            </w:r>
            <w:r w:rsidR="003B059F">
              <w:rPr>
                <w:rFonts w:ascii="Trebuchet MS" w:eastAsia="Trebuchet MS" w:hAnsi="Trebuchet MS"/>
              </w:rPr>
              <w:t>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Kupanje u gradskim bazenima, po osobi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25,00 kuna</w:t>
            </w:r>
          </w:p>
        </w:tc>
      </w:tr>
      <w:tr w:rsidR="002F3D65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190F2A" w:rsidP="003B059F">
            <w:pPr>
              <w:spacing w:line="222" w:lineRule="exact"/>
              <w:ind w:lef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47</w:t>
            </w:r>
            <w:r w:rsidR="003B059F">
              <w:rPr>
                <w:rFonts w:ascii="Trebuchet MS" w:eastAsia="Trebuchet MS" w:hAnsi="Trebuchet MS"/>
              </w:rPr>
              <w:t>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Kupanje u gradskim bazenima, po osobi, djeca, umirovljenici, studenti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3D65" w:rsidRDefault="002F3D65" w:rsidP="003B059F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15,00 kuna</w:t>
            </w:r>
          </w:p>
        </w:tc>
      </w:tr>
    </w:tbl>
    <w:p w:rsidR="009564BC" w:rsidRDefault="009564BC" w:rsidP="003B059F">
      <w:pPr>
        <w:jc w:val="center"/>
        <w:rPr>
          <w:rFonts w:ascii="Trebuchet MS" w:eastAsia="Trebuchet MS" w:hAnsi="Trebuchet MS"/>
        </w:rPr>
        <w:sectPr w:rsidR="009564BC">
          <w:pgSz w:w="11900" w:h="16841"/>
          <w:pgMar w:top="1110" w:right="1120" w:bottom="489" w:left="1420" w:header="0" w:footer="0" w:gutter="0"/>
          <w:cols w:space="0" w:equalWidth="0">
            <w:col w:w="9360"/>
          </w:cols>
          <w:docGrid w:linePitch="360"/>
        </w:sectPr>
      </w:pPr>
    </w:p>
    <w:p w:rsidR="009564BC" w:rsidRDefault="009564BC" w:rsidP="003B059F">
      <w:pPr>
        <w:spacing w:line="346" w:lineRule="exact"/>
        <w:jc w:val="center"/>
        <w:rPr>
          <w:rFonts w:ascii="Times New Roman" w:eastAsia="Times New Roman" w:hAnsi="Times New Roman"/>
        </w:rPr>
      </w:pPr>
    </w:p>
    <w:p w:rsidR="009564BC" w:rsidRDefault="00691095" w:rsidP="003B059F">
      <w:pPr>
        <w:spacing w:line="0" w:lineRule="atLeast"/>
        <w:jc w:val="center"/>
        <w:rPr>
          <w:rFonts w:ascii="Trebuchet MS" w:eastAsia="Trebuchet MS" w:hAnsi="Trebuchet MS"/>
          <w:sz w:val="21"/>
        </w:rPr>
      </w:pPr>
      <w:r>
        <w:rPr>
          <w:rFonts w:ascii="Trebuchet MS" w:eastAsia="Trebuchet MS" w:hAnsi="Trebuchet MS"/>
          <w:sz w:val="21"/>
        </w:rPr>
        <w:t>3/3</w:t>
      </w:r>
    </w:p>
    <w:p w:rsidR="009564BC" w:rsidRDefault="009564BC" w:rsidP="003B059F">
      <w:pPr>
        <w:spacing w:line="0" w:lineRule="atLeast"/>
        <w:jc w:val="center"/>
        <w:rPr>
          <w:rFonts w:ascii="Trebuchet MS" w:eastAsia="Trebuchet MS" w:hAnsi="Trebuchet MS"/>
          <w:sz w:val="21"/>
        </w:rPr>
        <w:sectPr w:rsidR="009564BC">
          <w:type w:val="continuous"/>
          <w:pgSz w:w="11900" w:h="16841"/>
          <w:pgMar w:top="1110" w:right="5640" w:bottom="489" w:left="5920" w:header="0" w:footer="0" w:gutter="0"/>
          <w:cols w:space="0" w:equalWidth="0">
            <w:col w:w="3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080"/>
        <w:gridCol w:w="1700"/>
      </w:tblGrid>
      <w:tr w:rsidR="009564BC">
        <w:trPr>
          <w:trHeight w:val="2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bookmarkStart w:id="4" w:name="page4"/>
            <w:bookmarkEnd w:id="4"/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F449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29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gratis, uz</w:t>
            </w:r>
          </w:p>
        </w:tc>
      </w:tr>
      <w:tr w:rsidR="009564BC">
        <w:trPr>
          <w:trHeight w:val="23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190F2A" w:rsidP="003B059F">
            <w:pPr>
              <w:spacing w:line="0" w:lineRule="atLeast"/>
              <w:ind w:righ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48</w:t>
            </w:r>
            <w:r w:rsidR="00691095">
              <w:rPr>
                <w:rFonts w:ascii="Trebuchet MS" w:eastAsia="Trebuchet MS" w:hAnsi="Trebuchet MS"/>
              </w:rPr>
              <w:t>.</w:t>
            </w: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0" w:lineRule="atLeas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Slavonskog Kobaša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0" w:lineRule="atLeas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prethodi</w:t>
            </w:r>
          </w:p>
        </w:tc>
      </w:tr>
      <w:tr w:rsidR="009564BC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F449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0" w:lineRule="atLeas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dogovor sa</w:t>
            </w:r>
          </w:p>
        </w:tc>
      </w:tr>
      <w:tr w:rsidR="009564BC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F449F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F449F5">
            <w:pPr>
              <w:spacing w:line="0" w:lineRule="atLeast"/>
              <w:jc w:val="righ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564BC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3B05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F449F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0" w:lineRule="atLeas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župnikom</w:t>
            </w:r>
          </w:p>
        </w:tc>
      </w:tr>
      <w:tr w:rsidR="009564BC">
        <w:trPr>
          <w:trHeight w:val="2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190F2A" w:rsidP="003B059F">
            <w:pPr>
              <w:spacing w:line="224" w:lineRule="exact"/>
              <w:ind w:righ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49</w:t>
            </w:r>
            <w:r w:rsidR="003B059F">
              <w:rPr>
                <w:rFonts w:ascii="Trebuchet MS" w:eastAsia="Trebuchet MS" w:hAnsi="Trebuchet MS"/>
              </w:rPr>
              <w:t>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24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ergele "Olanović", po osobi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24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10,00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190F2A" w:rsidP="003B059F">
            <w:pPr>
              <w:spacing w:line="222" w:lineRule="exact"/>
              <w:ind w:righ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50</w:t>
            </w:r>
            <w:r w:rsidR="003B059F">
              <w:rPr>
                <w:rFonts w:ascii="Trebuchet MS" w:eastAsia="Trebuchet MS" w:hAnsi="Trebuchet MS"/>
              </w:rPr>
              <w:t>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ergele "Olanović",</w:t>
            </w:r>
            <w:r w:rsidR="00F449F5">
              <w:rPr>
                <w:rFonts w:ascii="Trebuchet MS" w:eastAsia="Trebuchet MS" w:hAnsi="Trebuchet MS"/>
              </w:rPr>
              <w:t xml:space="preserve"> po osobi, učenici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5,00 kuna</w:t>
            </w:r>
          </w:p>
        </w:tc>
      </w:tr>
      <w:tr w:rsidR="009564BC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190F2A" w:rsidP="003B059F">
            <w:pPr>
              <w:spacing w:line="220" w:lineRule="exact"/>
              <w:ind w:righ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51</w:t>
            </w:r>
            <w:r w:rsidR="003B059F">
              <w:rPr>
                <w:rFonts w:ascii="Trebuchet MS" w:eastAsia="Trebuchet MS" w:hAnsi="Trebuchet MS"/>
              </w:rPr>
              <w:t>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20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Razgled ergele "Mata", po osobi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20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5,00 kuna</w:t>
            </w:r>
          </w:p>
        </w:tc>
      </w:tr>
      <w:tr w:rsidR="009564BC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190F2A" w:rsidP="003B059F">
            <w:pPr>
              <w:spacing w:line="222" w:lineRule="exact"/>
              <w:ind w:righ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52</w:t>
            </w:r>
            <w:r w:rsidR="003B059F">
              <w:rPr>
                <w:rFonts w:ascii="Trebuchet MS" w:eastAsia="Trebuchet MS" w:hAnsi="Trebuchet MS"/>
              </w:rPr>
              <w:t>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Ergela "Mata", jahanje i sok (po osobi)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22" w:lineRule="exac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10,00 kuna</w:t>
            </w:r>
          </w:p>
        </w:tc>
      </w:tr>
      <w:tr w:rsidR="009564BC">
        <w:trPr>
          <w:trHeight w:val="21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190F2A" w:rsidP="003B059F">
            <w:pPr>
              <w:spacing w:line="0" w:lineRule="atLeast"/>
              <w:ind w:right="100"/>
              <w:jc w:val="center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53</w:t>
            </w:r>
            <w:r w:rsidR="003B059F">
              <w:rPr>
                <w:rFonts w:ascii="Trebuchet MS" w:eastAsia="Trebuchet MS" w:hAnsi="Trebuchet MS"/>
              </w:rPr>
              <w:t>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209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Prezentacija programa "Slavonski Brod - od prapovijesti do vremena Vojne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F449F5" w:rsidP="00F449F5">
            <w:pPr>
              <w:spacing w:line="0" w:lineRule="atLeast"/>
              <w:jc w:val="righ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24</w:t>
            </w:r>
            <w:r w:rsidR="00691095">
              <w:rPr>
                <w:rFonts w:ascii="Trebuchet MS" w:eastAsia="Trebuchet MS" w:hAnsi="Trebuchet MS"/>
              </w:rPr>
              <w:t>0,00 kuna</w:t>
            </w:r>
          </w:p>
        </w:tc>
      </w:tr>
      <w:tr w:rsidR="009564BC">
        <w:trPr>
          <w:trHeight w:val="12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691095" w:rsidP="00F449F5">
            <w:pPr>
              <w:spacing w:line="0" w:lineRule="atLeas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krajine"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564BC">
        <w:trPr>
          <w:trHeight w:val="1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 w:rsidP="00F449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4BC" w:rsidRDefault="009564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9564BC" w:rsidRDefault="009564BC">
      <w:pPr>
        <w:spacing w:line="257" w:lineRule="exact"/>
        <w:rPr>
          <w:rFonts w:ascii="Times New Roman" w:eastAsia="Times New Roman" w:hAnsi="Times New Roman"/>
        </w:rPr>
      </w:pPr>
    </w:p>
    <w:p w:rsidR="009564BC" w:rsidRDefault="00691095">
      <w:pPr>
        <w:numPr>
          <w:ilvl w:val="0"/>
          <w:numId w:val="7"/>
        </w:numPr>
        <w:tabs>
          <w:tab w:val="left" w:pos="720"/>
        </w:tabs>
        <w:spacing w:line="242" w:lineRule="auto"/>
        <w:ind w:left="720" w:hanging="381"/>
        <w:jc w:val="both"/>
        <w:rPr>
          <w:rFonts w:ascii="Arial" w:eastAsia="Arial" w:hAnsi="Arial"/>
          <w:color w:val="FC3C0D"/>
          <w:sz w:val="22"/>
        </w:rPr>
      </w:pPr>
      <w:r>
        <w:rPr>
          <w:rFonts w:ascii="Trebuchet MS" w:eastAsia="Trebuchet MS" w:hAnsi="Trebuchet MS"/>
          <w:sz w:val="22"/>
        </w:rPr>
        <w:t>Izvođenje programa živuće povijesti u tvrđavi Brod i susret s likovima iz Svijeta bajki Ivane Brlić-Mažuranić ispred kuće Brlić i kostimiranim likom Dragutina Tadijanovića u Franjevačkom samostanu izvode se za organizirane turističke grupe od najmanje 40 putnika koje u grad dolaze posredstvom putničkih agencija, te ostvaruju turističku potrošnju.</w:t>
      </w: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200" w:lineRule="exact"/>
        <w:rPr>
          <w:rFonts w:ascii="Times New Roman" w:eastAsia="Times New Roman" w:hAnsi="Times New Roman"/>
        </w:rPr>
      </w:pPr>
    </w:p>
    <w:p w:rsidR="009564BC" w:rsidRDefault="009564BC">
      <w:pPr>
        <w:spacing w:line="360" w:lineRule="exact"/>
        <w:rPr>
          <w:rFonts w:ascii="Times New Roman" w:eastAsia="Times New Roman" w:hAnsi="Times New Roman"/>
        </w:rPr>
      </w:pPr>
    </w:p>
    <w:p w:rsidR="00691095" w:rsidRDefault="00691095">
      <w:pPr>
        <w:spacing w:line="0" w:lineRule="atLeast"/>
        <w:ind w:left="4500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>4/3</w:t>
      </w:r>
    </w:p>
    <w:sectPr w:rsidR="00691095" w:rsidSect="00C41319">
      <w:pgSz w:w="11900" w:h="16841"/>
      <w:pgMar w:top="1112" w:right="1120" w:bottom="478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67CC7188">
      <w:start w:val="1"/>
      <w:numFmt w:val="bullet"/>
      <w:lvlText w:val="•"/>
      <w:lvlJc w:val="left"/>
    </w:lvl>
    <w:lvl w:ilvl="1" w:tplc="F5B821E2">
      <w:start w:val="18"/>
      <w:numFmt w:val="decimal"/>
      <w:lvlText w:val="%2."/>
      <w:lvlJc w:val="left"/>
    </w:lvl>
    <w:lvl w:ilvl="2" w:tplc="441685DE">
      <w:start w:val="1"/>
      <w:numFmt w:val="bullet"/>
      <w:lvlText w:val=""/>
      <w:lvlJc w:val="left"/>
    </w:lvl>
    <w:lvl w:ilvl="3" w:tplc="119E5F5C">
      <w:start w:val="1"/>
      <w:numFmt w:val="bullet"/>
      <w:lvlText w:val=""/>
      <w:lvlJc w:val="left"/>
    </w:lvl>
    <w:lvl w:ilvl="4" w:tplc="A9DAB22E">
      <w:start w:val="1"/>
      <w:numFmt w:val="bullet"/>
      <w:lvlText w:val=""/>
      <w:lvlJc w:val="left"/>
    </w:lvl>
    <w:lvl w:ilvl="5" w:tplc="39D86354">
      <w:start w:val="1"/>
      <w:numFmt w:val="bullet"/>
      <w:lvlText w:val=""/>
      <w:lvlJc w:val="left"/>
    </w:lvl>
    <w:lvl w:ilvl="6" w:tplc="2CFC4334">
      <w:start w:val="1"/>
      <w:numFmt w:val="bullet"/>
      <w:lvlText w:val=""/>
      <w:lvlJc w:val="left"/>
    </w:lvl>
    <w:lvl w:ilvl="7" w:tplc="9AAE9DAA">
      <w:start w:val="1"/>
      <w:numFmt w:val="bullet"/>
      <w:lvlText w:val=""/>
      <w:lvlJc w:val="left"/>
    </w:lvl>
    <w:lvl w:ilvl="8" w:tplc="301A9EC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E708CA92">
      <w:start w:val="1"/>
      <w:numFmt w:val="bullet"/>
      <w:lvlText w:val="•"/>
      <w:lvlJc w:val="left"/>
    </w:lvl>
    <w:lvl w:ilvl="1" w:tplc="D5B872E4">
      <w:start w:val="1"/>
      <w:numFmt w:val="bullet"/>
      <w:lvlText w:val=""/>
      <w:lvlJc w:val="left"/>
    </w:lvl>
    <w:lvl w:ilvl="2" w:tplc="1212C0DE">
      <w:start w:val="1"/>
      <w:numFmt w:val="bullet"/>
      <w:lvlText w:val=""/>
      <w:lvlJc w:val="left"/>
    </w:lvl>
    <w:lvl w:ilvl="3" w:tplc="A9325B68">
      <w:start w:val="1"/>
      <w:numFmt w:val="bullet"/>
      <w:lvlText w:val=""/>
      <w:lvlJc w:val="left"/>
    </w:lvl>
    <w:lvl w:ilvl="4" w:tplc="26002C20">
      <w:start w:val="1"/>
      <w:numFmt w:val="bullet"/>
      <w:lvlText w:val=""/>
      <w:lvlJc w:val="left"/>
    </w:lvl>
    <w:lvl w:ilvl="5" w:tplc="12407DDE">
      <w:start w:val="1"/>
      <w:numFmt w:val="bullet"/>
      <w:lvlText w:val=""/>
      <w:lvlJc w:val="left"/>
    </w:lvl>
    <w:lvl w:ilvl="6" w:tplc="47FE3D8E">
      <w:start w:val="1"/>
      <w:numFmt w:val="bullet"/>
      <w:lvlText w:val=""/>
      <w:lvlJc w:val="left"/>
    </w:lvl>
    <w:lvl w:ilvl="7" w:tplc="E9A88CAE">
      <w:start w:val="1"/>
      <w:numFmt w:val="bullet"/>
      <w:lvlText w:val=""/>
      <w:lvlJc w:val="left"/>
    </w:lvl>
    <w:lvl w:ilvl="8" w:tplc="571EA6C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00DEAE7A">
      <w:start w:val="1"/>
      <w:numFmt w:val="bullet"/>
      <w:lvlText w:val="•"/>
      <w:lvlJc w:val="left"/>
    </w:lvl>
    <w:lvl w:ilvl="1" w:tplc="07AA3EB8">
      <w:start w:val="1"/>
      <w:numFmt w:val="bullet"/>
      <w:lvlText w:val=""/>
      <w:lvlJc w:val="left"/>
    </w:lvl>
    <w:lvl w:ilvl="2" w:tplc="6914B14C">
      <w:start w:val="1"/>
      <w:numFmt w:val="bullet"/>
      <w:lvlText w:val=""/>
      <w:lvlJc w:val="left"/>
    </w:lvl>
    <w:lvl w:ilvl="3" w:tplc="5FC22AB2">
      <w:start w:val="1"/>
      <w:numFmt w:val="bullet"/>
      <w:lvlText w:val=""/>
      <w:lvlJc w:val="left"/>
    </w:lvl>
    <w:lvl w:ilvl="4" w:tplc="73866606">
      <w:start w:val="1"/>
      <w:numFmt w:val="bullet"/>
      <w:lvlText w:val=""/>
      <w:lvlJc w:val="left"/>
    </w:lvl>
    <w:lvl w:ilvl="5" w:tplc="6A42D6D8">
      <w:start w:val="1"/>
      <w:numFmt w:val="bullet"/>
      <w:lvlText w:val=""/>
      <w:lvlJc w:val="left"/>
    </w:lvl>
    <w:lvl w:ilvl="6" w:tplc="D8108114">
      <w:start w:val="1"/>
      <w:numFmt w:val="bullet"/>
      <w:lvlText w:val=""/>
      <w:lvlJc w:val="left"/>
    </w:lvl>
    <w:lvl w:ilvl="7" w:tplc="819CD5D2">
      <w:start w:val="1"/>
      <w:numFmt w:val="bullet"/>
      <w:lvlText w:val=""/>
      <w:lvlJc w:val="left"/>
    </w:lvl>
    <w:lvl w:ilvl="8" w:tplc="5906D81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CF00DCE2">
      <w:start w:val="1"/>
      <w:numFmt w:val="bullet"/>
      <w:lvlText w:val="•"/>
      <w:lvlJc w:val="left"/>
    </w:lvl>
    <w:lvl w:ilvl="1" w:tplc="476C5778">
      <w:start w:val="1"/>
      <w:numFmt w:val="bullet"/>
      <w:lvlText w:val=""/>
      <w:lvlJc w:val="left"/>
    </w:lvl>
    <w:lvl w:ilvl="2" w:tplc="145C8F7A">
      <w:start w:val="1"/>
      <w:numFmt w:val="bullet"/>
      <w:lvlText w:val=""/>
      <w:lvlJc w:val="left"/>
    </w:lvl>
    <w:lvl w:ilvl="3" w:tplc="E28226CE">
      <w:start w:val="1"/>
      <w:numFmt w:val="bullet"/>
      <w:lvlText w:val=""/>
      <w:lvlJc w:val="left"/>
    </w:lvl>
    <w:lvl w:ilvl="4" w:tplc="14A2FF8C">
      <w:start w:val="1"/>
      <w:numFmt w:val="bullet"/>
      <w:lvlText w:val=""/>
      <w:lvlJc w:val="left"/>
    </w:lvl>
    <w:lvl w:ilvl="5" w:tplc="526C8CD0">
      <w:start w:val="1"/>
      <w:numFmt w:val="bullet"/>
      <w:lvlText w:val=""/>
      <w:lvlJc w:val="left"/>
    </w:lvl>
    <w:lvl w:ilvl="6" w:tplc="901036BC">
      <w:start w:val="1"/>
      <w:numFmt w:val="bullet"/>
      <w:lvlText w:val=""/>
      <w:lvlJc w:val="left"/>
    </w:lvl>
    <w:lvl w:ilvl="7" w:tplc="1234CC96">
      <w:start w:val="1"/>
      <w:numFmt w:val="bullet"/>
      <w:lvlText w:val=""/>
      <w:lvlJc w:val="left"/>
    </w:lvl>
    <w:lvl w:ilvl="8" w:tplc="507616B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7D802CDA">
      <w:start w:val="1"/>
      <w:numFmt w:val="bullet"/>
      <w:lvlText w:val="•"/>
      <w:lvlJc w:val="left"/>
    </w:lvl>
    <w:lvl w:ilvl="1" w:tplc="1E7E15C2">
      <w:start w:val="1"/>
      <w:numFmt w:val="bullet"/>
      <w:lvlText w:val=""/>
      <w:lvlJc w:val="left"/>
    </w:lvl>
    <w:lvl w:ilvl="2" w:tplc="24A05106">
      <w:start w:val="1"/>
      <w:numFmt w:val="bullet"/>
      <w:lvlText w:val=""/>
      <w:lvlJc w:val="left"/>
    </w:lvl>
    <w:lvl w:ilvl="3" w:tplc="DFC2BDA8">
      <w:start w:val="1"/>
      <w:numFmt w:val="bullet"/>
      <w:lvlText w:val=""/>
      <w:lvlJc w:val="left"/>
    </w:lvl>
    <w:lvl w:ilvl="4" w:tplc="89223EFE">
      <w:start w:val="1"/>
      <w:numFmt w:val="bullet"/>
      <w:lvlText w:val=""/>
      <w:lvlJc w:val="left"/>
    </w:lvl>
    <w:lvl w:ilvl="5" w:tplc="15E44412">
      <w:start w:val="1"/>
      <w:numFmt w:val="bullet"/>
      <w:lvlText w:val=""/>
      <w:lvlJc w:val="left"/>
    </w:lvl>
    <w:lvl w:ilvl="6" w:tplc="C3B0C020">
      <w:start w:val="1"/>
      <w:numFmt w:val="bullet"/>
      <w:lvlText w:val=""/>
      <w:lvlJc w:val="left"/>
    </w:lvl>
    <w:lvl w:ilvl="7" w:tplc="0C14AC9A">
      <w:start w:val="1"/>
      <w:numFmt w:val="bullet"/>
      <w:lvlText w:val=""/>
      <w:lvlJc w:val="left"/>
    </w:lvl>
    <w:lvl w:ilvl="8" w:tplc="2250CD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8569A3A">
      <w:start w:val="1"/>
      <w:numFmt w:val="bullet"/>
      <w:lvlText w:val="•"/>
      <w:lvlJc w:val="left"/>
    </w:lvl>
    <w:lvl w:ilvl="1" w:tplc="2B0007BA">
      <w:start w:val="1"/>
      <w:numFmt w:val="bullet"/>
      <w:lvlText w:val=""/>
      <w:lvlJc w:val="left"/>
    </w:lvl>
    <w:lvl w:ilvl="2" w:tplc="E5A23332">
      <w:start w:val="1"/>
      <w:numFmt w:val="bullet"/>
      <w:lvlText w:val=""/>
      <w:lvlJc w:val="left"/>
    </w:lvl>
    <w:lvl w:ilvl="3" w:tplc="61FEBE2C">
      <w:start w:val="1"/>
      <w:numFmt w:val="bullet"/>
      <w:lvlText w:val=""/>
      <w:lvlJc w:val="left"/>
    </w:lvl>
    <w:lvl w:ilvl="4" w:tplc="49908948">
      <w:start w:val="1"/>
      <w:numFmt w:val="bullet"/>
      <w:lvlText w:val=""/>
      <w:lvlJc w:val="left"/>
    </w:lvl>
    <w:lvl w:ilvl="5" w:tplc="26A6FF3A">
      <w:start w:val="1"/>
      <w:numFmt w:val="bullet"/>
      <w:lvlText w:val=""/>
      <w:lvlJc w:val="left"/>
    </w:lvl>
    <w:lvl w:ilvl="6" w:tplc="EA3461C8">
      <w:start w:val="1"/>
      <w:numFmt w:val="bullet"/>
      <w:lvlText w:val=""/>
      <w:lvlJc w:val="left"/>
    </w:lvl>
    <w:lvl w:ilvl="7" w:tplc="A8D80EB4">
      <w:start w:val="1"/>
      <w:numFmt w:val="bullet"/>
      <w:lvlText w:val=""/>
      <w:lvlJc w:val="left"/>
    </w:lvl>
    <w:lvl w:ilvl="8" w:tplc="7E1A39A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4BC6699E">
      <w:start w:val="1"/>
      <w:numFmt w:val="bullet"/>
      <w:lvlText w:val="•"/>
      <w:lvlJc w:val="left"/>
    </w:lvl>
    <w:lvl w:ilvl="1" w:tplc="399A4E82">
      <w:start w:val="1"/>
      <w:numFmt w:val="bullet"/>
      <w:lvlText w:val=""/>
      <w:lvlJc w:val="left"/>
    </w:lvl>
    <w:lvl w:ilvl="2" w:tplc="1FDC9482">
      <w:start w:val="1"/>
      <w:numFmt w:val="bullet"/>
      <w:lvlText w:val=""/>
      <w:lvlJc w:val="left"/>
    </w:lvl>
    <w:lvl w:ilvl="3" w:tplc="DA267024">
      <w:start w:val="1"/>
      <w:numFmt w:val="bullet"/>
      <w:lvlText w:val=""/>
      <w:lvlJc w:val="left"/>
    </w:lvl>
    <w:lvl w:ilvl="4" w:tplc="778CBEB6">
      <w:start w:val="1"/>
      <w:numFmt w:val="bullet"/>
      <w:lvlText w:val=""/>
      <w:lvlJc w:val="left"/>
    </w:lvl>
    <w:lvl w:ilvl="5" w:tplc="E7C65048">
      <w:start w:val="1"/>
      <w:numFmt w:val="bullet"/>
      <w:lvlText w:val=""/>
      <w:lvlJc w:val="left"/>
    </w:lvl>
    <w:lvl w:ilvl="6" w:tplc="45BEEB56">
      <w:start w:val="1"/>
      <w:numFmt w:val="bullet"/>
      <w:lvlText w:val=""/>
      <w:lvlJc w:val="left"/>
    </w:lvl>
    <w:lvl w:ilvl="7" w:tplc="E9A27EB8">
      <w:start w:val="1"/>
      <w:numFmt w:val="bullet"/>
      <w:lvlText w:val=""/>
      <w:lvlJc w:val="left"/>
    </w:lvl>
    <w:lvl w:ilvl="8" w:tplc="BE5EB81E">
      <w:start w:val="1"/>
      <w:numFmt w:val="bullet"/>
      <w:lvlText w:val=""/>
      <w:lvlJc w:val="left"/>
    </w:lvl>
  </w:abstractNum>
  <w:abstractNum w:abstractNumId="7" w15:restartNumberingAfterBreak="0">
    <w:nsid w:val="6D250510"/>
    <w:multiLevelType w:val="hybridMultilevel"/>
    <w:tmpl w:val="D9AC1864"/>
    <w:lvl w:ilvl="0" w:tplc="041A000F">
      <w:start w:val="1"/>
      <w:numFmt w:val="decimal"/>
      <w:lvlText w:val="%1."/>
      <w:lvlJc w:val="left"/>
      <w:pPr>
        <w:ind w:left="820" w:hanging="360"/>
      </w:pPr>
    </w:lvl>
    <w:lvl w:ilvl="1" w:tplc="041A0019" w:tentative="1">
      <w:start w:val="1"/>
      <w:numFmt w:val="lowerLetter"/>
      <w:lvlText w:val="%2."/>
      <w:lvlJc w:val="left"/>
      <w:pPr>
        <w:ind w:left="1540" w:hanging="360"/>
      </w:pPr>
    </w:lvl>
    <w:lvl w:ilvl="2" w:tplc="041A001B" w:tentative="1">
      <w:start w:val="1"/>
      <w:numFmt w:val="lowerRoman"/>
      <w:lvlText w:val="%3."/>
      <w:lvlJc w:val="right"/>
      <w:pPr>
        <w:ind w:left="2260" w:hanging="180"/>
      </w:pPr>
    </w:lvl>
    <w:lvl w:ilvl="3" w:tplc="041A000F" w:tentative="1">
      <w:start w:val="1"/>
      <w:numFmt w:val="decimal"/>
      <w:lvlText w:val="%4."/>
      <w:lvlJc w:val="left"/>
      <w:pPr>
        <w:ind w:left="2980" w:hanging="360"/>
      </w:pPr>
    </w:lvl>
    <w:lvl w:ilvl="4" w:tplc="041A0019" w:tentative="1">
      <w:start w:val="1"/>
      <w:numFmt w:val="lowerLetter"/>
      <w:lvlText w:val="%5."/>
      <w:lvlJc w:val="left"/>
      <w:pPr>
        <w:ind w:left="3700" w:hanging="360"/>
      </w:pPr>
    </w:lvl>
    <w:lvl w:ilvl="5" w:tplc="041A001B" w:tentative="1">
      <w:start w:val="1"/>
      <w:numFmt w:val="lowerRoman"/>
      <w:lvlText w:val="%6."/>
      <w:lvlJc w:val="right"/>
      <w:pPr>
        <w:ind w:left="4420" w:hanging="180"/>
      </w:pPr>
    </w:lvl>
    <w:lvl w:ilvl="6" w:tplc="041A000F" w:tentative="1">
      <w:start w:val="1"/>
      <w:numFmt w:val="decimal"/>
      <w:lvlText w:val="%7."/>
      <w:lvlJc w:val="left"/>
      <w:pPr>
        <w:ind w:left="5140" w:hanging="360"/>
      </w:pPr>
    </w:lvl>
    <w:lvl w:ilvl="7" w:tplc="041A0019" w:tentative="1">
      <w:start w:val="1"/>
      <w:numFmt w:val="lowerLetter"/>
      <w:lvlText w:val="%8."/>
      <w:lvlJc w:val="left"/>
      <w:pPr>
        <w:ind w:left="5860" w:hanging="360"/>
      </w:pPr>
    </w:lvl>
    <w:lvl w:ilvl="8" w:tplc="041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C5"/>
    <w:rsid w:val="000650C1"/>
    <w:rsid w:val="00083827"/>
    <w:rsid w:val="00190F2A"/>
    <w:rsid w:val="002F3D65"/>
    <w:rsid w:val="003A60E5"/>
    <w:rsid w:val="003B059F"/>
    <w:rsid w:val="00691095"/>
    <w:rsid w:val="009564BC"/>
    <w:rsid w:val="009A58B4"/>
    <w:rsid w:val="00C41319"/>
    <w:rsid w:val="00F449F5"/>
    <w:rsid w:val="00F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C7455-9515-4C6D-A022-60F8D6B4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Korisnik</cp:lastModifiedBy>
  <cp:revision>2</cp:revision>
  <dcterms:created xsi:type="dcterms:W3CDTF">2018-09-24T09:47:00Z</dcterms:created>
  <dcterms:modified xsi:type="dcterms:W3CDTF">2018-09-24T09:47:00Z</dcterms:modified>
</cp:coreProperties>
</file>